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webp" ContentType="image/webp"/>
  <Override PartName="/word/media/rId12.webp" ContentType="image/webp"/>
  <Override PartName="/word/media/rId15.webp" ContentType="image/webp"/>
  <Override PartName="/word/media/rId18.webp" ContentType="image/webp"/>
  <Override PartName="/word/media/rId21.webp" ContentType="image/webp"/>
  <Override PartName="/word/media/rId41.webp" ContentType="image/webp"/>
  <Override PartName="/word/media/rId24.webp" ContentType="image/webp"/>
  <Override PartName="/word/media/rId27.webp" ContentType="image/webp"/>
  <Override PartName="/word/media/rId30.webp" ContentType="image/webp"/>
  <Override PartName="/word/media/rId33.webp" ContentType="image/webp"/>
  <Override PartName="/word/media/rId36.webp" ContentType="image/webp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rFonts w:hint="eastAsia"/>
          <w:b/>
          <w:bCs/>
        </w:rPr>
        <w:t xml:space="preserve">秘密★启用前</w:t>
      </w:r>
    </w:p>
    <w:p>
      <w:pPr>
        <w:pStyle w:val="BodyText"/>
      </w:pPr>
      <w:r>
        <w:drawing>
          <wp:inline>
            <wp:extent cx="333375" cy="27622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01.webp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  <w:b/>
          <w:bCs/>
        </w:rPr>
        <w:t xml:space="preserve">2024年遂宁市初中毕业暨高中阶段学校招生考试</w:t>
      </w:r>
    </w:p>
    <w:p>
      <w:pPr>
        <w:pStyle w:val="BodyText"/>
      </w:pPr>
      <w:r>
        <w:rPr>
          <w:rFonts w:hint="eastAsia"/>
          <w:b/>
          <w:bCs/>
        </w:rPr>
        <w:t xml:space="preserve">理科综合试卷</w:t>
      </w:r>
    </w:p>
    <w:p>
      <w:pPr>
        <w:pStyle w:val="BodyText"/>
      </w:pPr>
      <w:r>
        <w:rPr>
          <w:rFonts w:hint="eastAsia"/>
          <w:b/>
          <w:bCs/>
        </w:rPr>
        <w:t xml:space="preserve">注意事项：</w:t>
      </w:r>
    </w:p>
    <w:p>
      <w:pPr>
        <w:pStyle w:val="BodyText"/>
      </w:pPr>
      <w:r>
        <w:rPr>
          <w:rFonts w:hint="eastAsia"/>
          <w:b/>
          <w:bCs/>
        </w:rPr>
        <w:t xml:space="preserve">1．理科综合共200分，包括物理90分、化学70分、生物学40分。考试时间共150分钟。</w:t>
      </w:r>
    </w:p>
    <w:p>
      <w:pPr>
        <w:pStyle w:val="BodyText"/>
      </w:pPr>
      <w:r>
        <w:rPr>
          <w:rFonts w:hint="eastAsia"/>
          <w:b/>
          <w:bCs/>
        </w:rPr>
        <w:t xml:space="preserve">2．答题前，考生务必将自己的学校、姓名和准考证号用0.5毫米的黑色墨迹签字笔填写在答题卡对应位置上，并检查条形码粘贴是否正确。</w:t>
      </w:r>
    </w:p>
    <w:p>
      <w:pPr>
        <w:pStyle w:val="BodyText"/>
      </w:pPr>
      <w:r>
        <w:rPr>
          <w:rFonts w:hint="eastAsia"/>
          <w:b/>
          <w:bCs/>
        </w:rPr>
        <w:t xml:space="preserve">3．选择题使用2B铅笔涂在答题卡对应位置上，非选择题用0.5毫米黑色墨迹签字笔书写在答题卡对应位置上，超出答题区域书写的答案无效；在草稿纸、试题卷上答题无效。</w:t>
      </w:r>
    </w:p>
    <w:p>
      <w:pPr>
        <w:pStyle w:val="BodyText"/>
      </w:pPr>
      <w:r>
        <w:rPr>
          <w:rFonts w:hint="eastAsia"/>
          <w:b/>
          <w:bCs/>
        </w:rPr>
        <w:t xml:space="preserve">4．保持答题卡卡面清洁，不折叠、不破损。考试结束后，将本试卷和答题卡一并交回。</w:t>
      </w:r>
    </w:p>
    <w:p>
      <w:pPr>
        <w:pStyle w:val="BodyText"/>
      </w:pPr>
      <w:r>
        <w:rPr>
          <w:rFonts w:hint="eastAsia"/>
          <w:b/>
          <w:bCs/>
        </w:rPr>
        <w:t xml:space="preserve">生物学部分</w:t>
      </w:r>
    </w:p>
    <w:p>
      <w:pPr>
        <w:pStyle w:val="BodyText"/>
      </w:pPr>
      <w:r>
        <w:rPr>
          <w:rFonts w:hint="eastAsia"/>
          <w:b/>
          <w:bCs/>
        </w:rPr>
        <w:t xml:space="preserve">一、选择题（每小题只有一个正确答案，每小题2分，共20分）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复旦大学开发的对话式大型语言模型MOSS能自主学习和理解人类语言。它模拟了大脑皮层中的什么功能区？（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运动中枢</w:t>
      </w:r>
      <w:r>
        <w:t xml:space="preserve"> B. </w:t>
      </w:r>
      <w:r>
        <w:rPr>
          <w:rFonts w:hint="eastAsia"/>
        </w:rPr>
        <w:t xml:space="preserve">听觉中枢</w:t>
      </w:r>
      <w:r>
        <w:t xml:space="preserve"> C. </w:t>
      </w:r>
      <w:r>
        <w:rPr>
          <w:rFonts w:hint="eastAsia"/>
        </w:rPr>
        <w:t xml:space="preserve">语言中枢</w:t>
      </w:r>
      <w:r>
        <w:t xml:space="preserve"> D. </w:t>
      </w:r>
      <w:r>
        <w:rPr>
          <w:rFonts w:hint="eastAsia"/>
        </w:rPr>
        <w:t xml:space="preserve">视觉中枢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长期感染幽门螺杆菌可导致局部胃腺萎缩，让人患萎缩性胃炎，影响消化功能。据此可推测萎缩性胃炎患者（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胃液分泌量明显增多</w:t>
      </w:r>
      <w:r>
        <w:t xml:space="preserve"> B. </w:t>
      </w:r>
      <w:r>
        <w:rPr>
          <w:rFonts w:hint="eastAsia"/>
        </w:rPr>
        <w:t xml:space="preserve">不能消化脂肪类食物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不能消化淀粉类食物</w:t>
      </w:r>
      <w:r>
        <w:t xml:space="preserve"> D. </w:t>
      </w:r>
      <w:r>
        <w:rPr>
          <w:rFonts w:hint="eastAsia"/>
        </w:rPr>
        <w:t xml:space="preserve">蛋白质消化功能减弱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某患者肺泡内充满了大量积液，部分肺泡塌陷，表现出胸闷气喘、呼吸急促等症状。据此可推测该患者（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呼吸的频率比正常人低</w:t>
      </w:r>
      <w:r>
        <w:t xml:space="preserve"> B. </w:t>
      </w:r>
      <w:r>
        <w:rPr>
          <w:rFonts w:hint="eastAsia"/>
        </w:rPr>
        <w:t xml:space="preserve">肺通气和肺换气均受阻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血液中白细胞含量偏低</w:t>
      </w:r>
      <w:r>
        <w:t xml:space="preserve"> D. </w:t>
      </w:r>
      <w:r>
        <w:rPr>
          <w:rFonts w:hint="eastAsia"/>
        </w:rPr>
        <w:t xml:space="preserve">血液中的氧气含量偏高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如图为人体内某结构中的血液流动示意图，其中②表示器官或结构、①③表示血管、箭头表示血流方向，下列说法错误的是（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1628775" cy="5810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02.webp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②表示肺时，③中氧气丰富，血液颜色暗红</w:t>
      </w:r>
    </w:p>
    <w:p>
      <w:pPr>
        <w:pStyle w:val="BodyText"/>
      </w:pPr>
      <w:r>
        <w:drawing>
          <wp:inline>
            <wp:extent cx="47625" cy="57150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03.webp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 </w:t>
      </w:r>
      <w:r>
        <w:rPr>
          <w:rFonts w:hint="eastAsia"/>
        </w:rPr>
        <w:t xml:space="preserve">②表示小肠时，③中营养物质可能比①丰富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②表示肾小球时，①和③所代表的都是动脉</w:t>
      </w:r>
    </w:p>
    <w:p>
      <w:pPr>
        <w:pStyle w:val="BodyText"/>
      </w:pPr>
      <w:r>
        <w:t xml:space="preserve">D. </w:t>
      </w:r>
      <w:r>
        <w:rPr>
          <w:rFonts w:hint="eastAsia"/>
        </w:rPr>
        <w:t xml:space="preserve">②表示心脏时，①中流动的不一定是动脉血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某男子近日身体不适，医生结合症状开单，为他作了尿液化验，部分化验数据如表。据此判断，该男子发生病变的部位是（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rPr>
          <w:rFonts w:hint="eastAsia"/>
        </w:rPr>
        <w:t xml:space="preserve">检查项目</w:t>
      </w:r>
    </w:p>
    <w:p>
      <w:pPr>
        <w:pStyle w:val="BodyText"/>
      </w:pPr>
      <w:r>
        <w:rPr>
          <w:rFonts w:hint="eastAsia"/>
        </w:rPr>
        <w:t xml:space="preserve">结果（单位：g/L）</w:t>
      </w:r>
    </w:p>
    <w:p>
      <w:pPr>
        <w:pStyle w:val="BodyText"/>
      </w:pPr>
      <w:r>
        <w:rPr>
          <w:rFonts w:hint="eastAsia"/>
        </w:rPr>
        <w:t xml:space="preserve">参考值（单位：g/L）</w:t>
      </w:r>
    </w:p>
    <w:p>
      <w:pPr>
        <w:pStyle w:val="BodyText"/>
      </w:pPr>
      <w:r>
        <w:rPr>
          <w:rFonts w:hint="eastAsia"/>
        </w:rPr>
        <w:t xml:space="preserve">蛋白质</w:t>
      </w:r>
    </w:p>
    <w:p>
      <w:pPr>
        <w:pStyle w:val="BodyText"/>
      </w:pPr>
      <w:r>
        <w:t xml:space="preserve">30</w:t>
      </w:r>
    </w:p>
    <w:p>
      <w:pPr>
        <w:pStyle w:val="BodyText"/>
      </w:pPr>
      <w:r>
        <w:t xml:space="preserve">0</w:t>
      </w:r>
    </w:p>
    <w:p>
      <w:pPr>
        <w:pStyle w:val="BodyText"/>
      </w:pPr>
      <w:r>
        <w:rPr>
          <w:rFonts w:hint="eastAsia"/>
        </w:rPr>
        <w:t xml:space="preserve">葡萄糖</w:t>
      </w:r>
    </w:p>
    <w:p>
      <w:pPr>
        <w:pStyle w:val="BodyText"/>
      </w:pPr>
      <w:r>
        <w:t xml:space="preserve">0</w:t>
      </w:r>
    </w:p>
    <w:p>
      <w:pPr>
        <w:pStyle w:val="BodyText"/>
      </w:pPr>
      <w:r>
        <w:t xml:space="preserve">0</w:t>
      </w:r>
    </w:p>
    <w:p>
      <w:pPr>
        <w:pStyle w:val="BodyText"/>
      </w:pPr>
      <w:r>
        <w:rPr>
          <w:rFonts w:hint="eastAsia"/>
        </w:rPr>
        <w:t xml:space="preserve">尿素</w:t>
      </w:r>
    </w:p>
    <w:p>
      <w:pPr>
        <w:pStyle w:val="BodyText"/>
      </w:pPr>
      <w:r>
        <w:t xml:space="preserve">18</w:t>
      </w:r>
    </w:p>
    <w:p>
      <w:pPr>
        <w:pStyle w:val="BodyText"/>
      </w:pPr>
      <w:r>
        <w:t xml:space="preserve">20</w:t>
      </w:r>
    </w:p>
    <w:p>
      <w:pPr>
        <w:pStyle w:val="BodyText"/>
      </w:pPr>
      <w:r>
        <w:rPr>
          <w:rFonts w:hint="eastAsia"/>
        </w:rPr>
        <w:t xml:space="preserve">尿酸</w:t>
      </w:r>
    </w:p>
    <w:p>
      <w:pPr>
        <w:pStyle w:val="BodyText"/>
      </w:pPr>
      <w:r>
        <w:t xml:space="preserve">0.3</w:t>
      </w:r>
    </w:p>
    <w:p>
      <w:pPr>
        <w:pStyle w:val="BodyText"/>
      </w:pPr>
      <w:r>
        <w:t xml:space="preserve">0.5</w:t>
      </w:r>
    </w:p>
    <w:p>
      <w:pPr>
        <w:pStyle w:val="BodyText"/>
      </w:pPr>
      <w:r>
        <w:rPr>
          <w:rFonts w:hint="eastAsia"/>
        </w:rPr>
        <w:t xml:space="preserve">无机盐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11</w:t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肾小管</w:t>
      </w:r>
      <w:r>
        <w:t xml:space="preserve"> B. </w:t>
      </w:r>
      <w:r>
        <w:rPr>
          <w:rFonts w:hint="eastAsia"/>
        </w:rPr>
        <w:t xml:space="preserve">肾小球</w:t>
      </w:r>
      <w:r>
        <w:t xml:space="preserve"> C. </w:t>
      </w:r>
      <w:r>
        <w:rPr>
          <w:rFonts w:hint="eastAsia"/>
        </w:rPr>
        <w:t xml:space="preserve">肾小囊</w:t>
      </w:r>
      <w:r>
        <w:t xml:space="preserve"> D. </w:t>
      </w:r>
      <w:r>
        <w:rPr>
          <w:rFonts w:hint="eastAsia"/>
        </w:rPr>
        <w:t xml:space="preserve">集合管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2024年5月17日，安徽医科大学第一附属医院全球首创，将转基因猪肝脏成功移植到肝癌重症患者身上，开辟了肝癌治疗新路径。从免疫概念分析，该转基因猪肝脏相当于（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抗体</w:t>
      </w:r>
      <w:r>
        <w:t xml:space="preserve"> B. </w:t>
      </w:r>
      <w:r>
        <w:rPr>
          <w:rFonts w:hint="eastAsia"/>
        </w:rPr>
        <w:t xml:space="preserve">病原体</w:t>
      </w:r>
      <w:r>
        <w:t xml:space="preserve"> C. </w:t>
      </w:r>
      <w:r>
        <w:rPr>
          <w:rFonts w:hint="eastAsia"/>
        </w:rPr>
        <w:t xml:space="preserve">抗原</w:t>
      </w:r>
      <w:r>
        <w:t xml:space="preserve"> D. </w:t>
      </w:r>
      <w:r>
        <w:rPr>
          <w:rFonts w:hint="eastAsia"/>
        </w:rPr>
        <w:t xml:space="preserve">疫苗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航天员叶光富在“天宫课堂”的太空细胞学实验中，刺激导入了荧光蛋白基因的心肌细胞，发现它会收缩并发荧光。下列关于该心肌细胞的说法，</w:t>
      </w:r>
      <w:r>
        <w:rPr>
          <w:rFonts w:hint="eastAsia"/>
        </w:rPr>
        <w:t xml:space="preserve">正确</w:t>
      </w:r>
      <w:r>
        <w:rPr>
          <w:rFonts w:hint="eastAsia"/>
        </w:rPr>
        <w:t xml:space="preserve">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它的出现主要运用了克隆技术</w:t>
      </w:r>
    </w:p>
    <w:p>
      <w:pPr>
        <w:pStyle w:val="BodyText"/>
      </w:pPr>
      <w:r>
        <w:t xml:space="preserve">B. </w:t>
      </w:r>
      <w:r>
        <w:rPr>
          <w:rFonts w:hint="eastAsia"/>
        </w:rPr>
        <w:t xml:space="preserve">它的出现主要用了转基因技术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它是传统生物技术运用的产物</w:t>
      </w:r>
    </w:p>
    <w:p>
      <w:pPr>
        <w:pStyle w:val="BodyText"/>
      </w:pPr>
      <w:r>
        <w:t xml:space="preserve">D. </w:t>
      </w:r>
      <w:r>
        <w:rPr>
          <w:rFonts w:hint="eastAsia"/>
        </w:rPr>
        <w:t xml:space="preserve">它在受刺激时收缩是反射过程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某同学用洋葱鳞片叶</w:t>
      </w:r>
      <w:r>
        <w:rPr>
          <w:rFonts w:hint="eastAsia"/>
        </w:rPr>
        <w:t xml:space="preserve">内表皮</w:t>
      </w:r>
      <w:r>
        <w:rPr>
          <w:rFonts w:hint="eastAsia"/>
        </w:rPr>
        <w:t xml:space="preserve">制作临时装片观察细胞结构，在高倍镜下获得如图所示视野（未按实际大小呈现）。下列相关叙述</w:t>
      </w:r>
      <w:r>
        <w:rPr>
          <w:rFonts w:hint="eastAsia"/>
        </w:rPr>
        <w:t xml:space="preserve">正确</w:t>
      </w:r>
      <w:r>
        <w:rPr>
          <w:rFonts w:hint="eastAsia"/>
        </w:rPr>
        <w:t xml:space="preserve">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1295400" cy="914400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04.webp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要将图中完整的细胞移到视野中央，应向左移动装片</w:t>
      </w:r>
    </w:p>
    <w:p>
      <w:pPr>
        <w:pStyle w:val="BodyText"/>
      </w:pPr>
      <w:r>
        <w:t xml:space="preserve">B. </w:t>
      </w:r>
      <w:r>
        <w:rPr>
          <w:rFonts w:hint="eastAsia"/>
        </w:rPr>
        <w:t xml:space="preserve">制作装片时不能用碘液染色，否则影响结构b的观察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结构a是细胞质，含有叶绿体、线粒体和液泡等结构</w:t>
      </w:r>
    </w:p>
    <w:p>
      <w:pPr>
        <w:pStyle w:val="BodyText"/>
      </w:pPr>
      <w:r>
        <w:drawing>
          <wp:inline>
            <wp:extent cx="123825" cy="14287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05.webp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D. </w:t>
      </w:r>
      <w:r>
        <w:rPr>
          <w:rFonts w:hint="eastAsia"/>
        </w:rPr>
        <w:t xml:space="preserve">细胞最外层结构c是细胞膜，具有保护和支持作用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当下，我国果蔬主产区普遍使用大型封闭式气调冷藏库（充入氮气替换部分空气）储藏果蔬，以延长果蔬的保鲜时间，增加农民收益。下列相关叙述</w:t>
      </w:r>
      <w:r>
        <w:rPr>
          <w:rFonts w:hint="eastAsia"/>
        </w:rPr>
        <w:t xml:space="preserve">错误</w:t>
      </w:r>
      <w:r>
        <w:rPr>
          <w:rFonts w:hint="eastAsia"/>
        </w:rPr>
        <w:t xml:space="preserve">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充入氮气替换部分空气降低了气调冷藏库中氧气的含量</w:t>
      </w:r>
    </w:p>
    <w:p>
      <w:pPr>
        <w:pStyle w:val="BodyText"/>
      </w:pPr>
      <w:r>
        <w:t xml:space="preserve">B. </w:t>
      </w:r>
      <w:r>
        <w:rPr>
          <w:rFonts w:hint="eastAsia"/>
        </w:rPr>
        <w:t xml:space="preserve">气调冷藏库空气流通小，果蔬水分散失少，有利于保鲜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气调冷藏库中温度低，细菌繁殖受抑制，果蔬不易腐烂</w:t>
      </w:r>
    </w:p>
    <w:p>
      <w:pPr>
        <w:pStyle w:val="BodyText"/>
      </w:pPr>
      <w:r>
        <w:t xml:space="preserve">D. </w:t>
      </w:r>
      <w:r>
        <w:rPr>
          <w:rFonts w:hint="eastAsia"/>
        </w:rPr>
        <w:t xml:space="preserve">气调冷藏库中温度低、氧气少，果蔬不能进行呼吸作用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“瑞雪兆丰年”描述了雪对作物的积极影响。关于影响原理，有人提出了“①雪中含有某些物质，这些物质促进作物生长”“②雪冷冻作物，冷刺激促进作物生长”两种观点。某同学以麦苗为材料，设计了如下实验对此进行探究。下列说法</w:t>
      </w:r>
      <w:r>
        <w:rPr>
          <w:rFonts w:hint="eastAsia"/>
        </w:rPr>
        <w:t xml:space="preserve">错误</w:t>
      </w:r>
      <w:r>
        <w:rPr>
          <w:rFonts w:hint="eastAsia"/>
        </w:rPr>
        <w:t xml:space="preserve">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rPr>
          <w:rFonts w:hint="eastAsia"/>
        </w:rPr>
        <w:t xml:space="preserve">组别</w:t>
      </w:r>
    </w:p>
    <w:p>
      <w:pPr>
        <w:pStyle w:val="BodyText"/>
      </w:pPr>
      <w:r>
        <w:rPr>
          <w:rFonts w:hint="eastAsia"/>
        </w:rPr>
        <w:t xml:space="preserve">冷冻处理</w:t>
      </w:r>
    </w:p>
    <w:p>
      <w:pPr>
        <w:pStyle w:val="BodyText"/>
      </w:pPr>
      <w:r>
        <w:rPr>
          <w:rFonts w:hint="eastAsia"/>
        </w:rPr>
        <w:t xml:space="preserve">培养液</w:t>
      </w:r>
    </w:p>
    <w:p>
      <w:pPr>
        <w:pStyle w:val="BodyText"/>
      </w:pPr>
      <w:r>
        <w:rPr>
          <w:rFonts w:hint="eastAsia"/>
        </w:rPr>
        <w:t xml:space="preserve">培养温度</w:t>
      </w:r>
    </w:p>
    <w:p>
      <w:pPr>
        <w:pStyle w:val="BodyText"/>
      </w:pPr>
      <w:r>
        <w:rPr>
          <w:rFonts w:hint="eastAsia"/>
        </w:rPr>
        <w:t xml:space="preserve">麦苗长势</w:t>
      </w:r>
    </w:p>
    <w:p>
      <w:pPr>
        <w:pStyle w:val="BodyText"/>
      </w:pPr>
      <w:r>
        <w:rPr>
          <w:rFonts w:hint="eastAsia"/>
        </w:rPr>
        <w:t xml:space="preserve">甲</w:t>
      </w:r>
    </w:p>
    <w:p>
      <w:pPr>
        <w:pStyle w:val="BodyText"/>
      </w:pPr>
      <w:r>
        <w:rPr>
          <w:rFonts w:hint="eastAsia"/>
        </w:rPr>
        <w:t xml:space="preserve">否</w:t>
      </w:r>
    </w:p>
    <w:p>
      <w:pPr>
        <w:pStyle w:val="BodyText"/>
      </w:pPr>
      <w:r>
        <w:rPr>
          <w:rFonts w:hint="eastAsia"/>
        </w:rPr>
        <w:t xml:space="preserve">清水</w:t>
      </w:r>
    </w:p>
    <w:p>
      <w:pPr>
        <w:pStyle w:val="BodyText"/>
      </w:pPr>
      <w:r>
        <w:t xml:space="preserve">25℃</w:t>
      </w:r>
    </w:p>
    <w:p>
      <w:pPr>
        <w:pStyle w:val="BodyText"/>
      </w:pPr>
      <w:r>
        <w:rPr>
          <w:rFonts w:hint="eastAsia"/>
        </w:rPr>
        <w:t xml:space="preserve">乙</w:t>
      </w:r>
    </w:p>
    <w:p>
      <w:pPr>
        <w:pStyle w:val="BodyText"/>
      </w:pPr>
      <w:r>
        <w:rPr>
          <w:rFonts w:hint="eastAsia"/>
        </w:rPr>
        <w:t xml:space="preserve">否</w:t>
      </w:r>
    </w:p>
    <w:p>
      <w:pPr>
        <w:pStyle w:val="BodyText"/>
      </w:pPr>
      <w:r>
        <w:rPr>
          <w:rFonts w:hint="eastAsia"/>
        </w:rPr>
        <w:t xml:space="preserve">融雪水</w:t>
      </w:r>
    </w:p>
    <w:p>
      <w:pPr>
        <w:pStyle w:val="BodyText"/>
      </w:pPr>
      <w:r>
        <w:t xml:space="preserve">25℃</w:t>
      </w:r>
    </w:p>
    <w:p>
      <w:pPr>
        <w:pStyle w:val="BodyText"/>
      </w:pPr>
      <w:r>
        <w:rPr>
          <w:rFonts w:hint="eastAsia"/>
        </w:rPr>
        <w:t xml:space="preserve">丙</w:t>
      </w:r>
    </w:p>
    <w:p>
      <w:pPr>
        <w:pStyle w:val="BodyText"/>
      </w:pPr>
      <w:r>
        <w:rPr>
          <w:rFonts w:hint="eastAsia"/>
        </w:rPr>
        <w:t xml:space="preserve">清水</w:t>
      </w:r>
    </w:p>
    <w:p>
      <w:pPr>
        <w:pStyle w:val="BodyText"/>
      </w:pPr>
      <w:r>
        <w:t xml:space="preserve">25℃</w:t>
      </w:r>
    </w:p>
    <w:p>
      <w:pPr>
        <w:pStyle w:val="BodyText"/>
      </w:pPr>
      <w:r>
        <w:drawing>
          <wp:inline>
            <wp:extent cx="133350" cy="13335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07.webp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上述实验在设计上不合理，违背了单一变量原则</w:t>
      </w:r>
    </w:p>
    <w:p>
      <w:pPr>
        <w:pStyle w:val="BodyText"/>
      </w:pPr>
      <w:r>
        <w:t xml:space="preserve">B. </w:t>
      </w:r>
      <w:r>
        <w:rPr>
          <w:rFonts w:hint="eastAsia"/>
        </w:rPr>
        <w:t xml:space="preserve">增加上述实验的重复次数，能提高结果的可靠性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分析甲、乙两组麦苗长势，能判断观点①的正误</w:t>
      </w:r>
    </w:p>
    <w:p>
      <w:pPr>
        <w:pStyle w:val="BodyText"/>
      </w:pPr>
      <w:r>
        <w:t xml:space="preserve">D. </w:t>
      </w:r>
      <w:r>
        <w:rPr>
          <w:rFonts w:hint="eastAsia"/>
        </w:rPr>
        <w:t xml:space="preserve">分析甲、丙两组麦苗长势，能判断观点②的正误</w:t>
      </w:r>
    </w:p>
    <w:p>
      <w:pPr>
        <w:pStyle w:val="BodyText"/>
      </w:pPr>
      <w:r>
        <w:rPr>
          <w:rFonts w:hint="eastAsia"/>
          <w:b/>
          <w:bCs/>
        </w:rPr>
        <w:t xml:space="preserve">二、综合应用题（共20分）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某生物学兴趣小组在学习光合作用后，利用课后服务实践活动时间，开展了“利用光合作用绘制小熊画”的趣味实验，部分操作如图所示。请据此回答以下问题：</w:t>
      </w:r>
    </w:p>
    <w:p>
      <w:pPr>
        <w:pStyle w:val="FirstParagraph"/>
      </w:pPr>
      <w:r>
        <w:rPr>
          <w:rFonts w:hint="eastAsia"/>
        </w:rPr>
        <w:t xml:space="preserve">①黑色不透明卡纸</w:t>
      </w:r>
    </w:p>
    <w:p>
      <w:pPr>
        <w:pStyle w:val="BodyText"/>
      </w:pPr>
      <w:r>
        <w:rPr>
          <w:rFonts w:hint="eastAsia"/>
        </w:rPr>
        <w:t xml:space="preserve">剪出小熊卡片</w:t>
      </w:r>
    </w:p>
    <w:p>
      <w:pPr>
        <w:pStyle w:val="BodyText"/>
      </w:pPr>
      <w:r>
        <w:rPr>
          <w:rFonts w:hint="eastAsia"/>
        </w:rPr>
        <w:t xml:space="preserve">②固定小熊卡</w:t>
      </w:r>
    </w:p>
    <w:p>
      <w:pPr>
        <w:pStyle w:val="BodyText"/>
      </w:pPr>
      <w:r>
        <w:rPr>
          <w:rFonts w:hint="eastAsia"/>
        </w:rPr>
        <w:t xml:space="preserve">片后光照数小时</w:t>
      </w:r>
    </w:p>
    <w:p>
      <w:pPr>
        <w:pStyle w:val="BodyText"/>
      </w:pPr>
      <w:r>
        <w:rPr>
          <w:rFonts w:hint="eastAsia"/>
        </w:rPr>
        <w:t xml:space="preserve">③暗处理</w:t>
      </w:r>
    </w:p>
    <w:p>
      <w:pPr>
        <w:pStyle w:val="BodyText"/>
      </w:pPr>
      <w:r>
        <w:rPr>
          <w:rFonts w:hint="eastAsia"/>
        </w:rPr>
        <w:t xml:space="preserve">叶片数小时</w:t>
      </w:r>
    </w:p>
    <w:p>
      <w:pPr>
        <w:pStyle w:val="BodyText"/>
      </w:pPr>
      <w:r>
        <w:rPr>
          <w:rFonts w:hint="eastAsia"/>
        </w:rPr>
        <w:t xml:space="preserve">④碘液染色、查</w:t>
      </w:r>
    </w:p>
    <w:p>
      <w:pPr>
        <w:pStyle w:val="BodyText"/>
      </w:pPr>
      <w:r>
        <w:rPr>
          <w:rFonts w:hint="eastAsia"/>
        </w:rPr>
        <w:t xml:space="preserve">看小熊画绘制情况</w:t>
      </w:r>
    </w:p>
    <w:p>
      <w:pPr>
        <w:pStyle w:val="BodyText"/>
      </w:pPr>
      <w:r>
        <w:drawing>
          <wp:inline>
            <wp:extent cx="571500" cy="695325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08.webp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>
            <wp:extent cx="1095375" cy="100965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09.webp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>
            <wp:extent cx="1000125" cy="97155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10.webp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>
            <wp:extent cx="1019175" cy="9906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11.webp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（1）操作②-④的正确顺序是____________</w:t>
      </w:r>
    </w:p>
    <w:p>
      <w:pPr>
        <w:pStyle w:val="BodyText"/>
      </w:pPr>
      <w:r>
        <w:drawing>
          <wp:inline>
            <wp:extent cx="123825" cy="142875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05.webp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（2）操作③暗处理作用是____________；操作④碘液染色之前，要用酒精作____________处理。</w:t>
      </w:r>
    </w:p>
    <w:p>
      <w:pPr>
        <w:pStyle w:val="BodyText"/>
      </w:pPr>
      <w:r>
        <w:rPr>
          <w:rFonts w:hint="eastAsia"/>
        </w:rPr>
        <w:t xml:space="preserve">（3）若该实验成功绘制出小熊画，则其同时也验证了绿叶在光下合成____________、光是光合作用的____________条件</w:t>
      </w:r>
    </w:p>
    <w:p>
      <w:pPr>
        <w:pStyle w:val="BodyText"/>
      </w:pPr>
      <w:r>
        <w:rPr>
          <w:rFonts w:hint="eastAsia"/>
        </w:rPr>
        <w:t xml:space="preserve">（4）操作④染色后，叶片部分区域呈浅色，构建出小熊轮廓，完成小熊画绘制，这些浅色区域出现的原因是____________。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习近平总书记曾多次强调，粮食安全是“国之大者”，要用中国的粮仓保护中国的粮食安全，一块块农田就是我们的粮仓。下图是某农田生态系统中的食物网，请据此回答以下问题：</w:t>
      </w:r>
    </w:p>
    <w:p>
      <w:pPr>
        <w:pStyle w:val="FirstParagraph"/>
      </w:pPr>
      <w:r>
        <w:drawing>
          <wp:inline>
            <wp:extent cx="3429000" cy="8001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06.webp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（1）从农田生态系统的组成成分看，图中缺乏的成分是____________（答两点）。</w:t>
      </w:r>
    </w:p>
    <w:p>
      <w:pPr>
        <w:pStyle w:val="BodyText"/>
      </w:pPr>
      <w:r>
        <w:rPr>
          <w:rFonts w:hint="eastAsia"/>
        </w:rPr>
        <w:t xml:space="preserve">（2）农田生态系统的食物网中，青蛙和蜘蛛的种间关系有____________（答两点）</w:t>
      </w:r>
    </w:p>
    <w:p>
      <w:pPr>
        <w:pStyle w:val="BodyText"/>
      </w:pPr>
      <w:r>
        <w:rPr>
          <w:rFonts w:hint="eastAsia"/>
        </w:rPr>
        <w:t xml:space="preserve">（3）太阳能通过水稻的____________作用输入农田生态系统，食草昆虫等动物通过摄食食物链中上一环节生物体内的____________（填物质）获得能量，从而推动能量的流动。食物网中能让青蛙间接从水稻获得更多能量的食物链是____________。</w:t>
      </w:r>
    </w:p>
    <w:p>
      <w:pPr>
        <w:pStyle w:val="BodyText"/>
      </w:pPr>
      <w:r>
        <w:rPr>
          <w:rFonts w:hint="eastAsia"/>
        </w:rPr>
        <w:t xml:space="preserve">（4）防虫害是保证粮食安全的辅助措施之一，请结合图中食物网为广大水稻种植户提出合理的防虫害建议：____________。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某生物学兴趣小组在学习遗传规律后，对人群中耳垂的遗传情况进行了调查（相关基因用A、a表示），结果如表所示。请据此回答以下问题：</w:t>
      </w:r>
    </w:p>
    <w:p>
      <w:pPr>
        <w:pStyle w:val="FirstParagraph"/>
      </w:pPr>
      <w:r>
        <w:rPr>
          <w:rFonts w:hint="eastAsia"/>
        </w:rPr>
        <w:t xml:space="preserve">调查家庭组别</w:t>
      </w:r>
    </w:p>
    <w:p>
      <w:pPr>
        <w:pStyle w:val="BodyText"/>
      </w:pPr>
      <w:r>
        <w:rPr>
          <w:rFonts w:hint="eastAsia"/>
        </w:rPr>
        <w:t xml:space="preserve">父亲性状</w:t>
      </w:r>
    </w:p>
    <w:p>
      <w:pPr>
        <w:pStyle w:val="BodyText"/>
      </w:pPr>
      <w:r>
        <w:rPr>
          <w:rFonts w:hint="eastAsia"/>
        </w:rPr>
        <w:t xml:space="preserve">母亲性状</w:t>
      </w:r>
    </w:p>
    <w:p>
      <w:pPr>
        <w:pStyle w:val="BodyText"/>
      </w:pPr>
      <w:r>
        <w:rPr>
          <w:rFonts w:hint="eastAsia"/>
        </w:rPr>
        <w:t xml:space="preserve">调查家庭数量（个）</w:t>
      </w:r>
    </w:p>
    <w:p>
      <w:pPr>
        <w:pStyle w:val="BodyText"/>
      </w:pPr>
      <w:r>
        <w:rPr>
          <w:rFonts w:hint="eastAsia"/>
        </w:rPr>
        <w:t xml:space="preserve">后代性状及个体数量（个）</w:t>
      </w:r>
    </w:p>
    <w:p>
      <w:pPr>
        <w:pStyle w:val="BodyText"/>
      </w:pPr>
      <w:r>
        <w:rPr>
          <w:rFonts w:hint="eastAsia"/>
        </w:rPr>
        <w:t xml:space="preserve">有耳垂</w:t>
      </w:r>
    </w:p>
    <w:p>
      <w:pPr>
        <w:pStyle w:val="BodyText"/>
      </w:pPr>
      <w:r>
        <w:rPr>
          <w:rFonts w:hint="eastAsia"/>
        </w:rPr>
        <w:t xml:space="preserve">无耳垂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rPr>
          <w:rFonts w:hint="eastAsia"/>
        </w:rPr>
        <w:t xml:space="preserve">无耳垂</w:t>
      </w:r>
    </w:p>
    <w:p>
      <w:pPr>
        <w:pStyle w:val="BodyText"/>
      </w:pPr>
      <w:r>
        <w:rPr>
          <w:rFonts w:hint="eastAsia"/>
        </w:rPr>
        <w:t xml:space="preserve">无耳垂</w:t>
      </w:r>
    </w:p>
    <w:p>
      <w:pPr>
        <w:pStyle w:val="BodyText"/>
      </w:pPr>
      <w:r>
        <w:t xml:space="preserve">72</w:t>
      </w:r>
    </w:p>
    <w:p>
      <w:pPr>
        <w:pStyle w:val="BodyText"/>
      </w:pPr>
      <w:r>
        <w:t xml:space="preserve">0</w:t>
      </w:r>
    </w:p>
    <w:p>
      <w:pPr>
        <w:pStyle w:val="BodyText"/>
      </w:pPr>
      <w:r>
        <w:t xml:space="preserve">78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rPr>
          <w:rFonts w:hint="eastAsia"/>
        </w:rPr>
        <w:t xml:space="preserve">有耳垂</w:t>
      </w:r>
    </w:p>
    <w:p>
      <w:pPr>
        <w:pStyle w:val="BodyText"/>
      </w:pPr>
      <w:r>
        <w:rPr>
          <w:rFonts w:hint="eastAsia"/>
        </w:rPr>
        <w:t xml:space="preserve">无耳垂</w:t>
      </w:r>
    </w:p>
    <w:p>
      <w:pPr>
        <w:pStyle w:val="BodyText"/>
      </w:pPr>
      <w:r>
        <w:t xml:space="preserve">179</w:t>
      </w:r>
    </w:p>
    <w:p>
      <w:pPr>
        <w:pStyle w:val="BodyText"/>
      </w:pPr>
      <w:r>
        <w:t xml:space="preserve">156</w:t>
      </w:r>
    </w:p>
    <w:p>
      <w:pPr>
        <w:pStyle w:val="BodyText"/>
      </w:pPr>
      <w:r>
        <w:t xml:space="preserve">41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rPr>
          <w:rFonts w:hint="eastAsia"/>
        </w:rPr>
        <w:t xml:space="preserve">有耳垂</w:t>
      </w:r>
    </w:p>
    <w:p>
      <w:pPr>
        <w:pStyle w:val="BodyText"/>
      </w:pPr>
      <w:r>
        <w:rPr>
          <w:rFonts w:hint="eastAsia"/>
        </w:rPr>
        <w:t xml:space="preserve">有耳垂</w:t>
      </w:r>
    </w:p>
    <w:p>
      <w:pPr>
        <w:pStyle w:val="BodyText"/>
      </w:pPr>
      <w:r>
        <w:t xml:space="preserve">246</w:t>
      </w:r>
    </w:p>
    <w:p>
      <w:pPr>
        <w:pStyle w:val="BodyText"/>
      </w:pPr>
      <w:r>
        <w:t xml:space="preserve">213</w:t>
      </w:r>
    </w:p>
    <w:p>
      <w:pPr>
        <w:pStyle w:val="BodyText"/>
      </w:pPr>
      <w:r>
        <w:t xml:space="preserve">59</w:t>
      </w:r>
    </w:p>
    <w:p>
      <w:pPr>
        <w:pStyle w:val="BodyText"/>
      </w:pPr>
      <w:r>
        <w:rPr>
          <w:rFonts w:hint="eastAsia"/>
        </w:rPr>
        <w:t xml:space="preserve">（1）第3组家庭中出现了无耳垂的后代，这在遗传学上称为____________现象，</w:t>
      </w:r>
    </w:p>
    <w:p>
      <w:pPr>
        <w:pStyle w:val="BodyText"/>
      </w:pPr>
      <w:r>
        <w:rPr>
          <w:rFonts w:hint="eastAsia"/>
        </w:rPr>
        <w:t xml:space="preserve">（2）根据第____________组调查结果可以推断出耳垂性状的显隐性，其中____________是隐性性状。</w:t>
      </w:r>
    </w:p>
    <w:p>
      <w:pPr>
        <w:pStyle w:val="BodyText"/>
      </w:pPr>
      <w:r>
        <w:rPr>
          <w:rFonts w:hint="eastAsia"/>
        </w:rPr>
        <w:t xml:space="preserve">（3）第3组中某家庭夫妇已经生育了一个无耳垂的孩子，若其再生育一个孩子，是无耳垂男孩的概率为____________。</w:t>
      </w:r>
    </w:p>
    <w:p>
      <w:pPr>
        <w:pStyle w:val="BodyText"/>
      </w:pPr>
      <w:r>
        <w:drawing>
          <wp:inline>
            <wp:extent cx="123825" cy="142875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05.webp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4）在分析调查结果时，有同学怀疑第2组数据统计有误，其理由是“第2组家庭夫妇中，一方基因型为Aa，另一方基因是为aa，其后代有耳垂与无耳垂的个体数之比应接近1：1”。你赞同吗？说说你的理由：____________。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6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7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8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9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0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1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12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13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webp" /><Relationship Type="http://schemas.openxmlformats.org/officeDocument/2006/relationships/image" Id="rId12" Target="media/rId12.webp" /><Relationship Type="http://schemas.openxmlformats.org/officeDocument/2006/relationships/image" Id="rId15" Target="media/rId15.webp" /><Relationship Type="http://schemas.openxmlformats.org/officeDocument/2006/relationships/image" Id="rId18" Target="media/rId18.webp" /><Relationship Type="http://schemas.openxmlformats.org/officeDocument/2006/relationships/image" Id="rId21" Target="media/rId21.webp" /><Relationship Type="http://schemas.openxmlformats.org/officeDocument/2006/relationships/image" Id="rId41" Target="media/rId41.webp" /><Relationship Type="http://schemas.openxmlformats.org/officeDocument/2006/relationships/image" Id="rId24" Target="media/rId24.webp" /><Relationship Type="http://schemas.openxmlformats.org/officeDocument/2006/relationships/image" Id="rId27" Target="media/rId27.webp" /><Relationship Type="http://schemas.openxmlformats.org/officeDocument/2006/relationships/image" Id="rId30" Target="media/rId30.webp" /><Relationship Type="http://schemas.openxmlformats.org/officeDocument/2006/relationships/image" Id="rId33" Target="media/rId33.webp" /><Relationship Type="http://schemas.openxmlformats.org/officeDocument/2006/relationships/image" Id="rId36" Target="media/rId36.webp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2026-07-17T03:07:45Z</dcterms:created>
  <dcterms:modified xsi:type="dcterms:W3CDTF">2026-07-17T03:07:45Z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